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медиакоммуникаций</w:t>
            </w:r>
          </w:p>
          <w:p>
            <w:pPr>
              <w:jc w:val="center"/>
              <w:spacing w:after="0" w:line="240" w:lineRule="auto"/>
              <w:rPr>
                <w:sz w:val="32"/>
                <w:szCs w:val="32"/>
              </w:rPr>
            </w:pPr>
            <w:r>
              <w:rPr>
                <w:rFonts w:ascii="Times New Roman" w:hAnsi="Times New Roman" w:cs="Times New Roman"/>
                <w:color w:val="#000000"/>
                <w:sz w:val="32"/>
                <w:szCs w:val="32"/>
              </w:rPr>
              <w:t> Б1.О.06.05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/Мельникова 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медиакоммуникаций»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Б1.О.06.05 «Теория и практика медиакоммуникаций».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медиакоммуникаций»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отличительные особенности современных медиасегментов и платформ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нормы современного русского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нормы иностранного языка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выявлять отличительные особенности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уметь использовать информационные ресурсы различных знаковых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системного анализа отличительных особенностей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ОПК-1.15 владеть навыками использования информационных ресурсов различных знаковых систем</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 мероприятий для рекламной или PR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применять основные принципы создания сценариев специальных событий и мероприятий для рекламной или PR -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Б1.О.06.05 «Теория и практика медиакоммуникаций»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012.7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Задачей изучения является формирование у студентов системного представления о современ-ных теоретических подходах к изучению медиакоммуникаций при демонст- рации значимости междисциплинарного знания в области медиаисследова-ний в аспекте сотрудничества с медийными структурами, представителями различных сегментов общества.</w:t>
            </w:r>
          </w:p>
          <w:p>
            <w:pPr>
              <w:jc w:val="center"/>
              <w:spacing w:after="0" w:line="240" w:lineRule="auto"/>
              <w:rPr>
                <w:sz w:val="22"/>
                <w:szCs w:val="22"/>
              </w:rPr>
            </w:pPr>
            <w:r>
              <w:rPr>
                <w:rFonts w:ascii="Times New Roman" w:hAnsi="Times New Roman" w:cs="Times New Roman"/>
                <w:color w:val="#000000"/>
                <w:sz w:val="22"/>
                <w:szCs w:val="22"/>
              </w:rPr>
              <w:t> Изучение данной дисциплины базируется на следующих дисциплинах:</w:t>
            </w:r>
          </w:p>
          <w:p>
            <w:pPr>
              <w:jc w:val="center"/>
              <w:spacing w:after="0" w:line="240" w:lineRule="auto"/>
              <w:rPr>
                <w:sz w:val="22"/>
                <w:szCs w:val="22"/>
              </w:rPr>
            </w:pPr>
            <w:r>
              <w:rPr>
                <w:rFonts w:ascii="Times New Roman" w:hAnsi="Times New Roman" w:cs="Times New Roman"/>
                <w:color w:val="#000000"/>
                <w:sz w:val="22"/>
                <w:szCs w:val="22"/>
              </w:rPr>
              <w:t> •	Философия</w:t>
            </w:r>
          </w:p>
          <w:p>
            <w:pPr>
              <w:jc w:val="center"/>
              <w:spacing w:after="0" w:line="240" w:lineRule="auto"/>
              <w:rPr>
                <w:sz w:val="22"/>
                <w:szCs w:val="22"/>
              </w:rPr>
            </w:pPr>
            <w:r>
              <w:rPr>
                <w:rFonts w:ascii="Times New Roman" w:hAnsi="Times New Roman" w:cs="Times New Roman"/>
                <w:color w:val="#000000"/>
                <w:sz w:val="22"/>
                <w:szCs w:val="22"/>
              </w:rPr>
              <w:t> •	Социология</w:t>
            </w:r>
          </w:p>
          <w:p>
            <w:pPr>
              <w:jc w:val="center"/>
              <w:spacing w:after="0" w:line="240" w:lineRule="auto"/>
              <w:rPr>
                <w:sz w:val="22"/>
                <w:szCs w:val="22"/>
              </w:rPr>
            </w:pPr>
            <w:r>
              <w:rPr>
                <w:rFonts w:ascii="Times New Roman" w:hAnsi="Times New Roman" w:cs="Times New Roman"/>
                <w:color w:val="#000000"/>
                <w:sz w:val="22"/>
                <w:szCs w:val="22"/>
              </w:rPr>
              <w:t> Для освоения учебной дисциплины, студенты должны владеть следующими знаниями и компетенциями:</w:t>
            </w:r>
          </w:p>
          <w:p>
            <w:pPr>
              <w:jc w:val="center"/>
              <w:spacing w:after="0" w:line="240" w:lineRule="auto"/>
              <w:rPr>
                <w:sz w:val="22"/>
                <w:szCs w:val="22"/>
              </w:rPr>
            </w:pPr>
            <w:r>
              <w:rPr>
                <w:rFonts w:ascii="Times New Roman" w:hAnsi="Times New Roman" w:cs="Times New Roman"/>
                <w:color w:val="#000000"/>
                <w:sz w:val="22"/>
                <w:szCs w:val="22"/>
              </w:rPr>
              <w:t> •	Знание ключевых понятий, тем, имен и концепций современной философии;</w:t>
            </w:r>
          </w:p>
          <w:p>
            <w:pPr>
              <w:jc w:val="center"/>
              <w:spacing w:after="0" w:line="240" w:lineRule="auto"/>
              <w:rPr>
                <w:sz w:val="22"/>
                <w:szCs w:val="22"/>
              </w:rPr>
            </w:pPr>
            <w:r>
              <w:rPr>
                <w:rFonts w:ascii="Times New Roman" w:hAnsi="Times New Roman" w:cs="Times New Roman"/>
                <w:color w:val="#000000"/>
                <w:sz w:val="22"/>
                <w:szCs w:val="22"/>
              </w:rPr>
              <w:t> •	Знание основных понятий, проблемных областей, теорий и методов социологии.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общепрофессиональной подготовки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коммуникационные специальности</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w:t>
            </w:r>
          </w:p>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"Информационные технологии и системы в рекламе и связях с общественностью "</w:t>
            </w:r>
          </w:p>
          <w:p>
            <w:pPr>
              <w:jc w:val="center"/>
              <w:spacing w:after="0" w:line="240" w:lineRule="auto"/>
              <w:rPr>
                <w:sz w:val="22"/>
                <w:szCs w:val="22"/>
              </w:rPr>
            </w:pPr>
            <w:r>
              <w:rPr>
                <w:rFonts w:ascii="Times New Roman" w:hAnsi="Times New Roman" w:cs="Times New Roman"/>
                <w:color w:val="#000000"/>
                <w:sz w:val="22"/>
                <w:szCs w:val="22"/>
              </w:rPr>
              <w:t> Модуль "Профессиональная деятельность в сфере рекламы и связей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183</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 ПРАКТИКА МЕДИАКОММУНИКАЦИЙ. 1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теорию медиакоммуникаций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Нормативные и «внутрицеховые»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Психологические теории медиавоздействия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Структурный функционализм и системный анализ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 Введение в теорию медиакоммуникаций</w:t>
            </w:r>
          </w:p>
          <w:p>
            <w:pPr>
              <w:jc w:val="left"/>
              <w:spacing w:after="0" w:line="240" w:lineRule="auto"/>
              <w:rPr>
                <w:sz w:val="24"/>
                <w:szCs w:val="24"/>
              </w:rPr>
            </w:pPr>
            <w:r>
              <w:rPr>
                <w:rFonts w:ascii="Times New Roman" w:hAnsi="Times New Roman" w:cs="Times New Roman"/>
                <w:color w:val="#000000"/>
                <w:sz w:val="24"/>
                <w:szCs w:val="24"/>
              </w:rPr>
              <w:t> Практические занятия 1</w:t>
            </w:r>
          </w:p>
          <w:p>
            <w:pPr>
              <w:jc w:val="left"/>
              <w:spacing w:after="0" w:line="240" w:lineRule="auto"/>
              <w:rPr>
                <w:sz w:val="24"/>
                <w:szCs w:val="24"/>
              </w:rPr>
            </w:pPr>
            <w:r>
              <w:rPr>
                <w:rFonts w:ascii="Times New Roman" w:hAnsi="Times New Roman" w:cs="Times New Roman"/>
                <w:color w:val="#000000"/>
                <w:sz w:val="24"/>
                <w:szCs w:val="24"/>
              </w:rPr>
              <w:t> 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медиакоммуникаций</w:t>
            </w:r>
          </w:p>
          <w:p>
            <w:pPr>
              <w:jc w:val="left"/>
              <w:spacing w:after="0" w:line="240" w:lineRule="auto"/>
              <w:rPr>
                <w:sz w:val="24"/>
                <w:szCs w:val="24"/>
              </w:rPr>
            </w:pPr>
            <w:r>
              <w:rPr>
                <w:rFonts w:ascii="Times New Roman" w:hAnsi="Times New Roman" w:cs="Times New Roman"/>
                <w:color w:val="#000000"/>
                <w:sz w:val="24"/>
                <w:szCs w:val="24"/>
              </w:rPr>
              <w:t> Практические занятия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медиакоммуникаций</w:t>
            </w:r>
          </w:p>
          <w:p>
            <w:pPr>
              <w:jc w:val="left"/>
              <w:spacing w:after="0" w:line="240" w:lineRule="auto"/>
              <w:rPr>
                <w:sz w:val="24"/>
                <w:szCs w:val="24"/>
              </w:rPr>
            </w:pPr>
            <w:r>
              <w:rPr>
                <w:rFonts w:ascii="Times New Roman" w:hAnsi="Times New Roman" w:cs="Times New Roman"/>
                <w:color w:val="#000000"/>
                <w:sz w:val="24"/>
                <w:szCs w:val="24"/>
              </w:rPr>
              <w:t> Практические занятия 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и «внутрицеховые» теории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и «внутрицеховые» теории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теорию медиакоммуникаций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Нормативные и «внутрицеховые»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Психологические теории медиавоздействия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Структурный функционализм и системный анализ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Культурно-критические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Теории информационного общества и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Теории информационного общества и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Специальные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84.792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теорию медиакоммуникаций</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категории: коммуникация, массовые коммуникации, медиа, медиакоммуникации. Теория: понятие, функции, критерии качества. Подходы к классификации теорий медиа. Ключевые темы современной теории медиа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Нормативные и «внутрицеховые» теории  медиа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«Четыре теории прессы». Современные нормативные модели медиа. Теории гейткипинга в медиасфере. Теории новостных ценностей. Исследования социализации журналистов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Психологические теории медиавоздействия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изучения эффектов медиавоздействия. Теории пропаганды. Теории ограниченных медиаэффектов. Современные теории медиавоздействия. Основные направления исследований медиавоздействия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Структурный функционализм и системный анализ медиа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структурного функционализма. Массмедиа как социальный институт. Функции и дисфункции массмедиа. Массмедиа и социодинамика культуры. Коммуникации и медиа в теории самореферентных социальных систем</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 Введение в теорию медиакоммуникаций</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1</w:t>
            </w:r>
          </w:p>
          <w:p>
            <w:pPr>
              <w:jc w:val="center"/>
              <w:spacing w:after="0" w:line="240" w:lineRule="auto"/>
              <w:rPr>
                <w:sz w:val="24"/>
                <w:szCs w:val="24"/>
              </w:rPr>
            </w:pPr>
            <w:r>
              <w:rPr>
                <w:rFonts w:ascii="Times New Roman" w:hAnsi="Times New Roman" w:cs="Times New Roman"/>
                <w:b/>
                <w:color w:val="#000000"/>
                <w:sz w:val="24"/>
                <w:szCs w:val="24"/>
              </w:rPr>
              <w:t> Т</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Базовые категории: коммуникация, массовые коммуникации, медиа, медиакоммуникации</w:t>
            </w:r>
          </w:p>
          <w:p>
            <w:pPr>
              <w:jc w:val="both"/>
              <w:spacing w:after="0" w:line="240" w:lineRule="auto"/>
              <w:rPr>
                <w:sz w:val="24"/>
                <w:szCs w:val="24"/>
              </w:rPr>
            </w:pPr>
            <w:r>
              <w:rPr>
                <w:rFonts w:ascii="Times New Roman" w:hAnsi="Times New Roman" w:cs="Times New Roman"/>
                <w:color w:val="#000000"/>
                <w:sz w:val="24"/>
                <w:szCs w:val="24"/>
              </w:rPr>
              <w:t> 2.	Понятие и уровни социальной коммуникации («пирамида» Д. Макуэйла). Модели коммуникации. Семь подходов к пониманию коммуникации (Р. Крейг). Основные формы коммуникации: жест, изображение, речь и письменность.</w:t>
            </w:r>
          </w:p>
          <w:p>
            <w:pPr>
              <w:jc w:val="both"/>
              <w:spacing w:after="0" w:line="240" w:lineRule="auto"/>
              <w:rPr>
                <w:sz w:val="24"/>
                <w:szCs w:val="24"/>
              </w:rPr>
            </w:pPr>
            <w:r>
              <w:rPr>
                <w:rFonts w:ascii="Times New Roman" w:hAnsi="Times New Roman" w:cs="Times New Roman"/>
                <w:color w:val="#000000"/>
                <w:sz w:val="24"/>
                <w:szCs w:val="24"/>
              </w:rPr>
              <w:t> 3.	Ключевые этапы развития средств коммуникации. Определение и характеристики массовой коммуникации. Соотношение СМК и СМИ. Роль массмедиа в жизни общества и человека.</w:t>
            </w:r>
          </w:p>
          <w:p>
            <w:pPr>
              <w:jc w:val="both"/>
              <w:spacing w:after="0" w:line="240" w:lineRule="auto"/>
              <w:rPr>
                <w:sz w:val="24"/>
                <w:szCs w:val="24"/>
              </w:rPr>
            </w:pPr>
            <w:r>
              <w:rPr>
                <w:rFonts w:ascii="Times New Roman" w:hAnsi="Times New Roman" w:cs="Times New Roman"/>
                <w:color w:val="#000000"/>
                <w:sz w:val="24"/>
                <w:szCs w:val="24"/>
              </w:rPr>
              <w:t> 4.	Генезис понятия «медиа» и современные значения. Типологии медиа. Появление новых форм опосредованной коммуникации. Актуальность термина «медиакоммуникации».</w:t>
            </w:r>
          </w:p>
          <w:p>
            <w:pPr>
              <w:jc w:val="both"/>
              <w:spacing w:after="0" w:line="240" w:lineRule="auto"/>
              <w:rPr>
                <w:sz w:val="24"/>
                <w:szCs w:val="24"/>
              </w:rPr>
            </w:pPr>
            <w:r>
              <w:rPr>
                <w:rFonts w:ascii="Times New Roman" w:hAnsi="Times New Roman" w:cs="Times New Roman"/>
                <w:color w:val="#000000"/>
                <w:sz w:val="24"/>
                <w:szCs w:val="24"/>
              </w:rPr>
              <w:t> 5.	Характеристики медиакоммуникации в 21 веке.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теорию медиакоммуникаций</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2</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Подходы к классификации теорий медиа</w:t>
            </w:r>
          </w:p>
          <w:p>
            <w:pPr>
              <w:jc w:val="both"/>
              <w:spacing w:after="0" w:line="240" w:lineRule="auto"/>
              <w:rPr>
                <w:sz w:val="24"/>
                <w:szCs w:val="24"/>
              </w:rPr>
            </w:pPr>
            <w:r>
              <w:rPr>
                <w:rFonts w:ascii="Times New Roman" w:hAnsi="Times New Roman" w:cs="Times New Roman"/>
                <w:color w:val="#000000"/>
                <w:sz w:val="24"/>
                <w:szCs w:val="24"/>
              </w:rPr>
              <w:t> 2.	Классификации теорий МК по принадлежности к научным дисциплинам; по объектам направлениям исследования; по исследовательским парадигмам.</w:t>
            </w:r>
          </w:p>
          <w:p>
            <w:pPr>
              <w:jc w:val="both"/>
              <w:spacing w:after="0" w:line="240" w:lineRule="auto"/>
              <w:rPr>
                <w:sz w:val="24"/>
                <w:szCs w:val="24"/>
              </w:rPr>
            </w:pPr>
            <w:r>
              <w:rPr>
                <w:rFonts w:ascii="Times New Roman" w:hAnsi="Times New Roman" w:cs="Times New Roman"/>
                <w:color w:val="#000000"/>
                <w:sz w:val="24"/>
                <w:szCs w:val="24"/>
              </w:rPr>
              <w:t> 3.	Классификация теорий МК Д. Макуэйла (социально-научные, культурные, нормативные, «внутрицеховые», «обыденные»). Ограничения классификаций теорий медиа.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теорию медиакоммуникаций</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3</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Ключевые темы современной теории медиакоммуникаций</w:t>
            </w:r>
          </w:p>
          <w:p>
            <w:pPr>
              <w:jc w:val="both"/>
              <w:spacing w:after="0" w:line="240" w:lineRule="auto"/>
              <w:rPr>
                <w:sz w:val="24"/>
                <w:szCs w:val="24"/>
              </w:rPr>
            </w:pPr>
            <w:r>
              <w:rPr>
                <w:rFonts w:ascii="Times New Roman" w:hAnsi="Times New Roman" w:cs="Times New Roman"/>
                <w:color w:val="#000000"/>
                <w:sz w:val="24"/>
                <w:szCs w:val="24"/>
              </w:rPr>
              <w:t> 2.	Ключевые категории и вопросы современных медиаисследований (Д. Макуэйл).</w:t>
            </w:r>
          </w:p>
          <w:p>
            <w:pPr>
              <w:jc w:val="both"/>
              <w:spacing w:after="0" w:line="240" w:lineRule="auto"/>
              <w:rPr>
                <w:sz w:val="24"/>
                <w:szCs w:val="24"/>
              </w:rPr>
            </w:pPr>
            <w:r>
              <w:rPr>
                <w:rFonts w:ascii="Times New Roman" w:hAnsi="Times New Roman" w:cs="Times New Roman"/>
                <w:color w:val="#000000"/>
                <w:sz w:val="24"/>
                <w:szCs w:val="24"/>
              </w:rPr>
              <w:t> 3.	Российские и зарубежные научные журналы по медиа и коммуникациям.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и «внутрицеховые» теории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4</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«Четыре теории прессы»</w:t>
            </w:r>
          </w:p>
          <w:p>
            <w:pPr>
              <w:jc w:val="both"/>
              <w:spacing w:after="0" w:line="240" w:lineRule="auto"/>
              <w:rPr>
                <w:sz w:val="24"/>
                <w:szCs w:val="24"/>
              </w:rPr>
            </w:pPr>
            <w:r>
              <w:rPr>
                <w:rFonts w:ascii="Times New Roman" w:hAnsi="Times New Roman" w:cs="Times New Roman"/>
                <w:color w:val="#000000"/>
                <w:sz w:val="24"/>
                <w:szCs w:val="24"/>
              </w:rPr>
              <w:t> 2.	Проблема взаимодействия СМИ и общества. «Четыре теории прессы» (Ф. Сиберт, У. Шрамм, Т. Питерсон). Политические и социально-философские детерминанты нормативных моделей прессы.</w:t>
            </w:r>
          </w:p>
          <w:p>
            <w:pPr>
              <w:jc w:val="both"/>
              <w:spacing w:after="0" w:line="240" w:lineRule="auto"/>
              <w:rPr>
                <w:sz w:val="24"/>
                <w:szCs w:val="24"/>
              </w:rPr>
            </w:pPr>
            <w:r>
              <w:rPr>
                <w:rFonts w:ascii="Times New Roman" w:hAnsi="Times New Roman" w:cs="Times New Roman"/>
                <w:color w:val="#000000"/>
                <w:sz w:val="24"/>
                <w:szCs w:val="24"/>
              </w:rPr>
              <w:t> 3.	Авторитарная теория. Либертарианская теория.</w:t>
            </w:r>
          </w:p>
          <w:p>
            <w:pPr>
              <w:jc w:val="both"/>
              <w:spacing w:after="0" w:line="240" w:lineRule="auto"/>
              <w:rPr>
                <w:sz w:val="24"/>
                <w:szCs w:val="24"/>
              </w:rPr>
            </w:pPr>
            <w:r>
              <w:rPr>
                <w:rFonts w:ascii="Times New Roman" w:hAnsi="Times New Roman" w:cs="Times New Roman"/>
                <w:color w:val="#000000"/>
                <w:sz w:val="24"/>
                <w:szCs w:val="24"/>
              </w:rPr>
              <w:t> 4.	Теория социальной ответственности. Советская коммунистическая теория. Сравнительный анализ четырех теорий прессы.</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и «внутрицеховые» теории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5</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Современные нормативные модели медиа</w:t>
            </w:r>
          </w:p>
          <w:p>
            <w:pPr>
              <w:jc w:val="both"/>
              <w:spacing w:after="0" w:line="240" w:lineRule="auto"/>
              <w:rPr>
                <w:sz w:val="24"/>
                <w:szCs w:val="24"/>
              </w:rPr>
            </w:pPr>
            <w:r>
              <w:rPr>
                <w:rFonts w:ascii="Times New Roman" w:hAnsi="Times New Roman" w:cs="Times New Roman"/>
                <w:color w:val="#000000"/>
                <w:sz w:val="24"/>
                <w:szCs w:val="24"/>
              </w:rPr>
              <w:t> 2.	Теория для медиа периода развития. Теория демократического участия. Нормативная модель Д. Макуэйла.</w:t>
            </w:r>
          </w:p>
          <w:p>
            <w:pPr>
              <w:jc w:val="both"/>
              <w:spacing w:after="0" w:line="240" w:lineRule="auto"/>
              <w:rPr>
                <w:sz w:val="24"/>
                <w:szCs w:val="24"/>
              </w:rPr>
            </w:pPr>
            <w:r>
              <w:rPr>
                <w:rFonts w:ascii="Times New Roman" w:hAnsi="Times New Roman" w:cs="Times New Roman"/>
                <w:color w:val="#000000"/>
                <w:sz w:val="24"/>
                <w:szCs w:val="24"/>
              </w:rPr>
              <w:t> 3.	Проблема реализации нормативных принципов в практической деятельности СМИ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медиакоммуникаций» / Мельникова Н.А..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978-5-9916-8710-2.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https://urait.ru/bcode/431878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https://urait.ru/bcode/433390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https://www.biblio-online.ru/bcode/444005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Меликян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Швец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978-5-7731-0503-9.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http://www.iprbookshop.ru/72947.html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Мультимедиа</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Бондарева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http://www.iprbookshop.ru/56283.html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4.2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2023-2024_ФГОС3++2023_Бак-ЗФО-РСО(23)_plx_Теория и практика медиакоммуникаций</dc:title>
  <dc:creator>FastReport.NET</dc:creator>
</cp:coreProperties>
</file>